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TÍTULO (CAIXA ALTA, CENTRALIZADO, NEGRITO, FONTE 12)</w:t>
      </w:r>
    </w:p>
    <w:p w:rsidR="00000000" w:rsidDel="00000000" w:rsidP="00000000" w:rsidRDefault="00000000" w:rsidRPr="00000000" w14:paraId="00000003">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Autor</w:t>
      </w:r>
    </w:p>
    <w:p w:rsidR="00000000" w:rsidDel="00000000" w:rsidP="00000000" w:rsidRDefault="00000000" w:rsidRPr="00000000" w14:paraId="00000005">
      <w:pPr>
        <w:spacing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RESUMO</w:t>
      </w:r>
    </w:p>
    <w:p w:rsidR="00000000" w:rsidDel="00000000" w:rsidP="00000000" w:rsidRDefault="00000000" w:rsidRPr="00000000" w14:paraId="00000007">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Resumo entre 300 e 500 palavras para trabalhos científicos.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 palavra.</w:t>
      </w:r>
    </w:p>
    <w:p w:rsidR="00000000" w:rsidDel="00000000" w:rsidP="00000000" w:rsidRDefault="00000000" w:rsidRPr="00000000" w14:paraId="00000009">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Palavras-chaves: inclusão de palavras-chaves que representem a totalidade do artigo, entre três e cinco palavras. </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